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1F" w:rsidRPr="008B381F" w:rsidRDefault="008B381F" w:rsidP="008B381F">
      <w:pPr>
        <w:jc w:val="center"/>
        <w:rPr>
          <w:rFonts w:ascii="Times New Roman" w:hAnsi="Times New Roman"/>
          <w:b/>
          <w:sz w:val="32"/>
          <w:szCs w:val="32"/>
        </w:rPr>
      </w:pPr>
      <w:r w:rsidRPr="008B381F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8B381F" w:rsidRPr="008B381F" w:rsidRDefault="008B381F" w:rsidP="008B381F">
      <w:pPr>
        <w:jc w:val="center"/>
        <w:rPr>
          <w:rFonts w:ascii="Times New Roman" w:hAnsi="Times New Roman"/>
          <w:sz w:val="28"/>
          <w:szCs w:val="28"/>
        </w:rPr>
      </w:pPr>
      <w:r w:rsidRPr="008B381F">
        <w:rPr>
          <w:rFonts w:ascii="Times New Roman" w:hAnsi="Times New Roman"/>
          <w:sz w:val="28"/>
          <w:szCs w:val="28"/>
        </w:rPr>
        <w:t xml:space="preserve"> СОВЕТ НАРОДНЫХ ДЕПУТАТОВ </w:t>
      </w:r>
    </w:p>
    <w:p w:rsidR="008B381F" w:rsidRPr="008B381F" w:rsidRDefault="008B381F" w:rsidP="008B381F">
      <w:pPr>
        <w:jc w:val="center"/>
        <w:rPr>
          <w:rFonts w:ascii="Times New Roman" w:hAnsi="Times New Roman"/>
          <w:b/>
          <w:sz w:val="32"/>
          <w:szCs w:val="32"/>
        </w:rPr>
      </w:pPr>
      <w:r w:rsidRPr="008B381F">
        <w:rPr>
          <w:rFonts w:ascii="Times New Roman" w:hAnsi="Times New Roman"/>
          <w:sz w:val="28"/>
          <w:szCs w:val="28"/>
        </w:rPr>
        <w:t xml:space="preserve">МУНИЦИПАЛЬНОГО  ОБРАЗОВАНИЯ  </w:t>
      </w:r>
      <w:r w:rsidRPr="008B381F">
        <w:rPr>
          <w:rFonts w:ascii="Times New Roman" w:hAnsi="Times New Roman"/>
          <w:sz w:val="32"/>
          <w:szCs w:val="32"/>
        </w:rPr>
        <w:t>САРЫЕВСКОЕ</w:t>
      </w:r>
    </w:p>
    <w:p w:rsidR="008B381F" w:rsidRPr="008B381F" w:rsidRDefault="008B381F" w:rsidP="008B381F">
      <w:pPr>
        <w:jc w:val="center"/>
        <w:rPr>
          <w:rFonts w:ascii="Times New Roman" w:hAnsi="Times New Roman"/>
          <w:sz w:val="28"/>
          <w:szCs w:val="28"/>
        </w:rPr>
      </w:pPr>
      <w:r w:rsidRPr="008B381F">
        <w:rPr>
          <w:rFonts w:ascii="Times New Roman" w:hAnsi="Times New Roman"/>
          <w:sz w:val="28"/>
          <w:szCs w:val="28"/>
        </w:rPr>
        <w:t>ВЯЗНИКОВСКОГО РАЙОНА   ВЛАДИМИРСКОЙ ОБЛАСТИ</w:t>
      </w:r>
    </w:p>
    <w:p w:rsidR="008B381F" w:rsidRPr="008B381F" w:rsidRDefault="008B381F" w:rsidP="008B381F">
      <w:pPr>
        <w:jc w:val="center"/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8B381F" w:rsidRDefault="008B381F" w:rsidP="008B381F">
      <w:pPr>
        <w:tabs>
          <w:tab w:val="left" w:pos="8222"/>
          <w:tab w:val="left" w:pos="8505"/>
        </w:tabs>
        <w:rPr>
          <w:rFonts w:ascii="Times New Roman" w:hAnsi="Times New Roman"/>
          <w:sz w:val="28"/>
          <w:szCs w:val="28"/>
          <w:u w:val="single"/>
        </w:rPr>
      </w:pPr>
      <w:r w:rsidRPr="008B381F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r w:rsidRPr="008B38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8B381F">
        <w:rPr>
          <w:rFonts w:ascii="Times New Roman" w:hAnsi="Times New Roman"/>
          <w:sz w:val="28"/>
          <w:szCs w:val="28"/>
          <w:u w:val="single"/>
        </w:rPr>
        <w:t xml:space="preserve">21.02.2019 </w:t>
      </w:r>
      <w:r w:rsidRPr="008B38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8B381F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13</w:t>
      </w:r>
      <w:r w:rsidR="00C07B22">
        <w:rPr>
          <w:rFonts w:ascii="Times New Roman" w:hAnsi="Times New Roman"/>
          <w:sz w:val="28"/>
          <w:szCs w:val="28"/>
          <w:u w:val="single"/>
        </w:rPr>
        <w:t>8</w:t>
      </w:r>
    </w:p>
    <w:p w:rsidR="00C07B22" w:rsidRPr="008B381F" w:rsidRDefault="00C07B22" w:rsidP="008B381F">
      <w:pPr>
        <w:tabs>
          <w:tab w:val="left" w:pos="8222"/>
          <w:tab w:val="left" w:pos="8505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84"/>
      </w:tblGrid>
      <w:tr w:rsidR="008B381F" w:rsidRPr="008B381F" w:rsidTr="0099460B">
        <w:trPr>
          <w:trHeight w:val="231"/>
        </w:trPr>
        <w:tc>
          <w:tcPr>
            <w:tcW w:w="4384" w:type="dxa"/>
          </w:tcPr>
          <w:p w:rsidR="008B381F" w:rsidRPr="008B381F" w:rsidRDefault="008B381F" w:rsidP="0099460B">
            <w:pPr>
              <w:jc w:val="both"/>
              <w:rPr>
                <w:rFonts w:ascii="Times New Roman" w:hAnsi="Times New Roman"/>
                <w:i/>
                <w:color w:val="333333"/>
              </w:rPr>
            </w:pPr>
            <w:r w:rsidRPr="008B381F">
              <w:rPr>
                <w:rFonts w:ascii="Times New Roman" w:hAnsi="Times New Roman"/>
                <w:bCs/>
                <w:i/>
              </w:rPr>
              <w:t>Об установлении тарифов на гарантированный перечень услуг по погребению умерших, и требований к их качеству</w:t>
            </w:r>
          </w:p>
        </w:tc>
      </w:tr>
      <w:tr w:rsidR="008B381F" w:rsidRPr="008B381F" w:rsidTr="008B381F">
        <w:trPr>
          <w:trHeight w:val="80"/>
        </w:trPr>
        <w:tc>
          <w:tcPr>
            <w:tcW w:w="4384" w:type="dxa"/>
          </w:tcPr>
          <w:p w:rsidR="008B381F" w:rsidRPr="008B381F" w:rsidRDefault="008B381F" w:rsidP="0099460B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</w:tbl>
    <w:p w:rsidR="008B381F" w:rsidRPr="008B381F" w:rsidRDefault="008B381F" w:rsidP="008B381F">
      <w:pPr>
        <w:rPr>
          <w:rFonts w:ascii="Times New Roman" w:hAnsi="Times New Roman"/>
          <w:i/>
        </w:rPr>
      </w:pPr>
    </w:p>
    <w:p w:rsidR="008B381F" w:rsidRPr="008B381F" w:rsidRDefault="008B381F" w:rsidP="008B381F">
      <w:pPr>
        <w:suppressAutoHyphens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81F" w:rsidRDefault="008B381F" w:rsidP="008B381F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8B381F" w:rsidRDefault="008B381F" w:rsidP="008B381F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suppressAutoHyphens/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B381F">
        <w:rPr>
          <w:rFonts w:ascii="Times New Roman" w:hAnsi="Times New Roman"/>
          <w:sz w:val="28"/>
          <w:szCs w:val="28"/>
        </w:rPr>
        <w:t xml:space="preserve">В соответствии со ст. 9, 12 Федерального Закона от 12 января 1996                №8-ФЗ «О погребении и похоронном деле», ст. 14 Федерального Закона от             06 октября 2003 №131-ФЗ «Об общих принципах организации местного самоуправления в Российской Федерации», </w:t>
      </w:r>
      <w:r w:rsidR="00C07B22">
        <w:rPr>
          <w:rFonts w:ascii="Times New Roman" w:hAnsi="Times New Roman"/>
          <w:sz w:val="28"/>
          <w:szCs w:val="28"/>
        </w:rPr>
        <w:t>постановлением  Правительства Росси</w:t>
      </w:r>
      <w:r w:rsidR="002706C8">
        <w:rPr>
          <w:rFonts w:ascii="Times New Roman" w:hAnsi="Times New Roman"/>
          <w:sz w:val="28"/>
          <w:szCs w:val="28"/>
        </w:rPr>
        <w:t>йской Федерации от 24.01.2019</w:t>
      </w:r>
      <w:r w:rsidR="00C07B22">
        <w:rPr>
          <w:rFonts w:ascii="Times New Roman" w:hAnsi="Times New Roman"/>
          <w:sz w:val="28"/>
          <w:szCs w:val="28"/>
        </w:rPr>
        <w:t xml:space="preserve"> №32 «Об утверждении коэффициента индексации выплат, пос</w:t>
      </w:r>
      <w:r w:rsidR="002706C8">
        <w:rPr>
          <w:rFonts w:ascii="Times New Roman" w:hAnsi="Times New Roman"/>
          <w:sz w:val="28"/>
          <w:szCs w:val="28"/>
        </w:rPr>
        <w:t>обий и компенсаций в 2019 году»</w:t>
      </w:r>
      <w:r w:rsidR="00C07B22">
        <w:rPr>
          <w:rFonts w:ascii="Times New Roman" w:hAnsi="Times New Roman"/>
          <w:sz w:val="28"/>
          <w:szCs w:val="28"/>
        </w:rPr>
        <w:t>, постановлением Губе</w:t>
      </w:r>
      <w:r w:rsidR="00746E31">
        <w:rPr>
          <w:rFonts w:ascii="Times New Roman" w:hAnsi="Times New Roman"/>
          <w:sz w:val="28"/>
          <w:szCs w:val="28"/>
        </w:rPr>
        <w:t xml:space="preserve">рнатора области от 12.07.2007  №518 </w:t>
      </w:r>
      <w:r w:rsidR="00C07B22">
        <w:rPr>
          <w:rFonts w:ascii="Times New Roman" w:hAnsi="Times New Roman"/>
          <w:sz w:val="28"/>
          <w:szCs w:val="28"/>
        </w:rPr>
        <w:t xml:space="preserve">«Об утверждении положения о порядке согласования стоимости услуг, представляемых согласно гарантированному перечню услуг по погребению, возмещаемой за счет средств областного бюджета», </w:t>
      </w:r>
      <w:r w:rsidRPr="008B381F">
        <w:rPr>
          <w:rFonts w:ascii="Times New Roman" w:hAnsi="Times New Roman"/>
          <w:sz w:val="28"/>
          <w:szCs w:val="28"/>
        </w:rPr>
        <w:t>руководствуясь статьёй 23 Устава муниципального образования Сарыевское Вязниковского района Владимирской области, Совет народных депутатов муниципальн</w:t>
      </w:r>
      <w:r w:rsidR="00746E31">
        <w:rPr>
          <w:rFonts w:ascii="Times New Roman" w:hAnsi="Times New Roman"/>
          <w:sz w:val="28"/>
          <w:szCs w:val="28"/>
        </w:rPr>
        <w:t xml:space="preserve">ого образования Сарыевское </w:t>
      </w:r>
      <w:r w:rsidRPr="008B381F">
        <w:rPr>
          <w:rFonts w:ascii="Times New Roman" w:hAnsi="Times New Roman"/>
          <w:sz w:val="28"/>
          <w:szCs w:val="28"/>
        </w:rPr>
        <w:t xml:space="preserve">р е ш и л </w:t>
      </w:r>
      <w:r w:rsidRPr="008B381F">
        <w:rPr>
          <w:rFonts w:ascii="Times New Roman" w:hAnsi="Times New Roman"/>
          <w:sz w:val="28"/>
          <w:szCs w:val="28"/>
          <w:lang w:eastAsia="zh-CN"/>
        </w:rPr>
        <w:t>:</w:t>
      </w:r>
    </w:p>
    <w:p w:rsidR="008B381F" w:rsidRPr="008B381F" w:rsidRDefault="008B381F" w:rsidP="008B381F">
      <w:pPr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B381F">
        <w:rPr>
          <w:rFonts w:ascii="Times New Roman" w:hAnsi="Times New Roman"/>
          <w:sz w:val="28"/>
          <w:szCs w:val="28"/>
          <w:lang w:eastAsia="zh-CN"/>
        </w:rPr>
        <w:tab/>
        <w:t xml:space="preserve">1. Установить тарифы </w:t>
      </w:r>
      <w:r w:rsidRPr="008B381F">
        <w:rPr>
          <w:rFonts w:ascii="Times New Roman" w:hAnsi="Times New Roman"/>
          <w:sz w:val="28"/>
          <w:szCs w:val="28"/>
        </w:rPr>
        <w:t>по погребению умерших, оказываемых на безвозмездной основе, согласно гарантированному перечню, предоставляемых специализированной службой по вопросам похоронного дела на территории муниципального образования Сарыевское согласно приложению № 1.</w:t>
      </w:r>
    </w:p>
    <w:p w:rsidR="008B381F" w:rsidRPr="008B381F" w:rsidRDefault="008B381F" w:rsidP="008B381F">
      <w:pPr>
        <w:pStyle w:val="ad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381F">
        <w:rPr>
          <w:rFonts w:ascii="Times New Roman" w:hAnsi="Times New Roman"/>
          <w:sz w:val="28"/>
          <w:szCs w:val="28"/>
          <w:lang w:eastAsia="zh-CN"/>
        </w:rPr>
        <w:t xml:space="preserve">2. Установить тарифы по погребению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обязанности, </w:t>
      </w:r>
      <w:r w:rsidRPr="008B381F">
        <w:rPr>
          <w:rFonts w:ascii="Times New Roman" w:hAnsi="Times New Roman"/>
          <w:sz w:val="28"/>
          <w:szCs w:val="28"/>
        </w:rPr>
        <w:t>предоставляемых специализированной службой по вопросам похоронного  дела, на территории муниципального образования Сарыевское согласно приложению № 2.</w:t>
      </w:r>
    </w:p>
    <w:p w:rsidR="008B381F" w:rsidRPr="008B381F" w:rsidRDefault="008B381F" w:rsidP="008B381F">
      <w:pPr>
        <w:suppressAutoHyphens/>
        <w:spacing w:after="8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B381F">
        <w:rPr>
          <w:rFonts w:ascii="Times New Roman" w:hAnsi="Times New Roman"/>
          <w:sz w:val="28"/>
          <w:szCs w:val="28"/>
          <w:lang w:eastAsia="zh-CN"/>
        </w:rPr>
        <w:t>3. Установить качество предоставляемых услуг, предусмотренных гарантированным перечнем услуг по погребению и перечнем услуг по погребению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обязанности, согласно приложению №3.</w:t>
      </w:r>
    </w:p>
    <w:p w:rsidR="008B381F" w:rsidRPr="008B381F" w:rsidRDefault="008B381F" w:rsidP="008B381F">
      <w:pPr>
        <w:suppressAutoHyphens/>
        <w:spacing w:after="8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B381F">
        <w:rPr>
          <w:rFonts w:ascii="Times New Roman" w:hAnsi="Times New Roman"/>
          <w:sz w:val="28"/>
          <w:szCs w:val="28"/>
          <w:lang w:eastAsia="zh-CN"/>
        </w:rPr>
        <w:lastRenderedPageBreak/>
        <w:t>4. Оформление документов, необходимых для погребения, осуществляется бесплатно.</w:t>
      </w:r>
    </w:p>
    <w:p w:rsidR="008B381F" w:rsidRDefault="008B381F" w:rsidP="008B381F">
      <w:pPr>
        <w:suppressAutoHyphens/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8B381F">
        <w:rPr>
          <w:rFonts w:ascii="Times New Roman" w:hAnsi="Times New Roman"/>
          <w:sz w:val="28"/>
          <w:szCs w:val="28"/>
          <w:lang w:eastAsia="zh-CN"/>
        </w:rPr>
        <w:t>5. Решение</w:t>
      </w:r>
      <w:r w:rsidRPr="008B381F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и распространяется на правоотношения, возникшие с 01.02.2019 года.</w:t>
      </w:r>
    </w:p>
    <w:p w:rsidR="00C07B22" w:rsidRDefault="00C07B22" w:rsidP="008B381F">
      <w:pPr>
        <w:suppressAutoHyphens/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B22" w:rsidRPr="008B381F" w:rsidRDefault="00C07B22" w:rsidP="008B381F">
      <w:pPr>
        <w:suppressAutoHyphens/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B381F">
        <w:rPr>
          <w:rFonts w:ascii="Times New Roman" w:hAnsi="Times New Roman"/>
          <w:color w:val="000000"/>
          <w:sz w:val="28"/>
          <w:szCs w:val="28"/>
          <w:lang w:eastAsia="zh-CN"/>
        </w:rPr>
        <w:t>Глава муниципального образования,</w:t>
      </w:r>
    </w:p>
    <w:p w:rsidR="008B381F" w:rsidRDefault="008B381F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B381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Председатель Совета народных депутатов         </w:t>
      </w:r>
      <w:r w:rsidR="00746E3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           А.И. Крылов</w:t>
      </w:r>
      <w:r w:rsidRPr="008B381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07B22" w:rsidRPr="008B381F" w:rsidRDefault="00C07B22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19"/>
      </w:tblGrid>
      <w:tr w:rsidR="008B381F" w:rsidRPr="008B381F" w:rsidTr="0099460B">
        <w:trPr>
          <w:trHeight w:val="839"/>
        </w:trPr>
        <w:tc>
          <w:tcPr>
            <w:tcW w:w="4319" w:type="dxa"/>
          </w:tcPr>
          <w:p w:rsidR="008B381F" w:rsidRPr="008B381F" w:rsidRDefault="008B381F" w:rsidP="0099460B">
            <w:pPr>
              <w:ind w:left="7088" w:hanging="708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B381F">
              <w:rPr>
                <w:rFonts w:ascii="Times New Roman" w:hAnsi="Times New Roman"/>
              </w:rPr>
              <w:lastRenderedPageBreak/>
              <w:t>Приложение № 1</w:t>
            </w:r>
          </w:p>
          <w:p w:rsidR="008B381F" w:rsidRPr="008B381F" w:rsidRDefault="008B381F" w:rsidP="0099460B">
            <w:pPr>
              <w:jc w:val="center"/>
              <w:rPr>
                <w:rFonts w:ascii="Times New Roman" w:hAnsi="Times New Roman"/>
              </w:rPr>
            </w:pPr>
            <w:r w:rsidRPr="008B381F">
              <w:rPr>
                <w:rFonts w:ascii="Times New Roman" w:hAnsi="Times New Roman"/>
              </w:rPr>
              <w:t>к  решению Совета народных депутатов муниципального образования Сарыевское Вязниковского района</w:t>
            </w:r>
          </w:p>
          <w:p w:rsidR="008B381F" w:rsidRPr="008B381F" w:rsidRDefault="008B381F" w:rsidP="0099460B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8B381F">
              <w:rPr>
                <w:rFonts w:ascii="Times New Roman" w:hAnsi="Times New Roman"/>
              </w:rPr>
              <w:t xml:space="preserve">от </w:t>
            </w:r>
            <w:r w:rsidR="00746E31">
              <w:rPr>
                <w:rFonts w:ascii="Times New Roman" w:hAnsi="Times New Roman"/>
                <w:u w:val="single"/>
              </w:rPr>
              <w:t>21.02.2019</w:t>
            </w:r>
            <w:r w:rsidRPr="008B381F">
              <w:rPr>
                <w:rFonts w:ascii="Times New Roman" w:hAnsi="Times New Roman"/>
              </w:rPr>
              <w:t xml:space="preserve"> № </w:t>
            </w:r>
            <w:r w:rsidRPr="008B381F">
              <w:rPr>
                <w:rFonts w:ascii="Times New Roman" w:hAnsi="Times New Roman"/>
                <w:u w:val="single"/>
              </w:rPr>
              <w:t>13</w:t>
            </w:r>
            <w:r w:rsidR="00C07B22">
              <w:rPr>
                <w:rFonts w:ascii="Times New Roman" w:hAnsi="Times New Roman"/>
                <w:u w:val="single"/>
              </w:rPr>
              <w:t>8</w:t>
            </w:r>
          </w:p>
          <w:p w:rsidR="008B381F" w:rsidRPr="008B381F" w:rsidRDefault="008B381F" w:rsidP="0099460B">
            <w:pPr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</w:tr>
    </w:tbl>
    <w:p w:rsidR="008B381F" w:rsidRPr="008B381F" w:rsidRDefault="008B381F" w:rsidP="008B381F">
      <w:pPr>
        <w:suppressLineNumbers/>
        <w:shd w:val="clear" w:color="auto" w:fill="FFFFFF"/>
        <w:suppressAutoHyphens/>
        <w:ind w:right="11" w:firstLine="708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8B381F" w:rsidRPr="008B381F" w:rsidRDefault="008B381F" w:rsidP="008B381F">
      <w:pPr>
        <w:ind w:left="7088" w:hanging="7088"/>
        <w:rPr>
          <w:rFonts w:ascii="Times New Roman" w:hAnsi="Times New Roman"/>
          <w:b/>
          <w:bCs/>
        </w:rPr>
      </w:pPr>
      <w:r w:rsidRPr="008B381F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</w:t>
      </w:r>
    </w:p>
    <w:p w:rsidR="008B381F" w:rsidRPr="008B381F" w:rsidRDefault="008B381F" w:rsidP="008B381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B381F" w:rsidRPr="008B381F" w:rsidRDefault="008B381F" w:rsidP="008B381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B381F" w:rsidRPr="008B381F" w:rsidRDefault="008B381F" w:rsidP="008B381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B381F" w:rsidRPr="008B381F" w:rsidRDefault="008B381F" w:rsidP="008B381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B381F" w:rsidRPr="008B381F" w:rsidRDefault="008B381F" w:rsidP="008B381F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8B381F">
        <w:rPr>
          <w:rFonts w:ascii="Times New Roman" w:hAnsi="Times New Roman"/>
          <w:color w:val="000000"/>
          <w:sz w:val="32"/>
          <w:szCs w:val="32"/>
        </w:rPr>
        <w:t>Т А Р И Ф Ы</w:t>
      </w:r>
    </w:p>
    <w:p w:rsidR="008B381F" w:rsidRPr="008B381F" w:rsidRDefault="008B381F" w:rsidP="008B381F">
      <w:pPr>
        <w:jc w:val="center"/>
        <w:rPr>
          <w:rFonts w:ascii="Times New Roman" w:hAnsi="Times New Roman"/>
          <w:sz w:val="28"/>
          <w:szCs w:val="28"/>
        </w:rPr>
      </w:pPr>
      <w:r w:rsidRPr="008B381F">
        <w:rPr>
          <w:rFonts w:ascii="Times New Roman" w:hAnsi="Times New Roman"/>
          <w:sz w:val="28"/>
          <w:szCs w:val="28"/>
        </w:rPr>
        <w:t>услуг по погребению умерших, оказываемых на безвозмездной основе, согласно гарантированному перечню, предоставляемых специализированной службой по вопросам похоронного дела на территории муниципального образования Сарыевское</w:t>
      </w:r>
    </w:p>
    <w:p w:rsidR="008B381F" w:rsidRPr="008B381F" w:rsidRDefault="008B381F" w:rsidP="008B381F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3"/>
        <w:gridCol w:w="2790"/>
      </w:tblGrid>
      <w:tr w:rsidR="008B381F" w:rsidRPr="008B381F" w:rsidTr="0099460B">
        <w:tc>
          <w:tcPr>
            <w:tcW w:w="7063" w:type="dxa"/>
          </w:tcPr>
          <w:p w:rsidR="008B381F" w:rsidRPr="008B381F" w:rsidRDefault="008B381F" w:rsidP="0099460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2790" w:type="dxa"/>
          </w:tcPr>
          <w:p w:rsidR="008B381F" w:rsidRPr="008B381F" w:rsidRDefault="008B381F" w:rsidP="0099460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>Тариф, руб.</w:t>
            </w:r>
          </w:p>
        </w:tc>
      </w:tr>
      <w:tr w:rsidR="008B381F" w:rsidRPr="008B381F" w:rsidTr="0099460B">
        <w:tc>
          <w:tcPr>
            <w:tcW w:w="7063" w:type="dxa"/>
          </w:tcPr>
          <w:p w:rsidR="008B381F" w:rsidRPr="008B381F" w:rsidRDefault="008B381F" w:rsidP="009946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90" w:type="dxa"/>
          </w:tcPr>
          <w:p w:rsidR="008B381F" w:rsidRPr="008B381F" w:rsidRDefault="008B381F" w:rsidP="0099460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>1506,86</w:t>
            </w:r>
          </w:p>
        </w:tc>
      </w:tr>
      <w:tr w:rsidR="008B381F" w:rsidRPr="008B381F" w:rsidTr="0099460B">
        <w:tc>
          <w:tcPr>
            <w:tcW w:w="7063" w:type="dxa"/>
          </w:tcPr>
          <w:p w:rsidR="008B381F" w:rsidRPr="008B381F" w:rsidRDefault="008B381F" w:rsidP="009946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>Перевозка тела (останков) умершего на кладбище (норма времени 2,3 часа)</w:t>
            </w:r>
          </w:p>
        </w:tc>
        <w:tc>
          <w:tcPr>
            <w:tcW w:w="2790" w:type="dxa"/>
          </w:tcPr>
          <w:p w:rsidR="008B381F" w:rsidRPr="008B381F" w:rsidRDefault="008B381F" w:rsidP="005B452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>2405,6</w:t>
            </w:r>
            <w:r w:rsidR="005B45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B381F" w:rsidRPr="008B381F" w:rsidTr="0099460B">
        <w:tc>
          <w:tcPr>
            <w:tcW w:w="7063" w:type="dxa"/>
          </w:tcPr>
          <w:p w:rsidR="008B381F" w:rsidRPr="008B381F" w:rsidRDefault="008B381F" w:rsidP="009946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>Погребение</w:t>
            </w:r>
          </w:p>
        </w:tc>
        <w:tc>
          <w:tcPr>
            <w:tcW w:w="2790" w:type="dxa"/>
          </w:tcPr>
          <w:p w:rsidR="008B381F" w:rsidRPr="008B381F" w:rsidRDefault="008B381F" w:rsidP="005B452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>203</w:t>
            </w:r>
            <w:r w:rsidR="005B45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5B4525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</w:tr>
      <w:tr w:rsidR="008B381F" w:rsidRPr="008B381F" w:rsidTr="0099460B">
        <w:tc>
          <w:tcPr>
            <w:tcW w:w="7063" w:type="dxa"/>
          </w:tcPr>
          <w:p w:rsidR="008B381F" w:rsidRPr="008B381F" w:rsidRDefault="008B381F" w:rsidP="009946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790" w:type="dxa"/>
          </w:tcPr>
          <w:p w:rsidR="008B381F" w:rsidRPr="008B381F" w:rsidRDefault="008B381F" w:rsidP="0099460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>5946,47</w:t>
            </w:r>
          </w:p>
        </w:tc>
      </w:tr>
    </w:tbl>
    <w:p w:rsidR="008B381F" w:rsidRPr="008B381F" w:rsidRDefault="008B381F" w:rsidP="008B381F">
      <w:pPr>
        <w:rPr>
          <w:rFonts w:ascii="Times New Roman" w:hAnsi="Times New Roman"/>
          <w:bCs/>
          <w:sz w:val="28"/>
          <w:szCs w:val="28"/>
        </w:rPr>
      </w:pPr>
    </w:p>
    <w:p w:rsidR="008B381F" w:rsidRPr="008B381F" w:rsidRDefault="008B381F" w:rsidP="008B381F">
      <w:pPr>
        <w:rPr>
          <w:rFonts w:ascii="Times New Roman" w:hAnsi="Times New Roman"/>
          <w:b/>
          <w:bCs/>
        </w:rPr>
      </w:pPr>
    </w:p>
    <w:p w:rsidR="008B381F" w:rsidRPr="008B381F" w:rsidRDefault="008B381F" w:rsidP="008B381F">
      <w:pPr>
        <w:jc w:val="center"/>
        <w:rPr>
          <w:rFonts w:ascii="Times New Roman" w:hAnsi="Times New Roman"/>
          <w:b/>
          <w:bCs/>
        </w:rPr>
      </w:pPr>
    </w:p>
    <w:p w:rsidR="008B381F" w:rsidRPr="008B381F" w:rsidRDefault="008B381F" w:rsidP="008B381F">
      <w:pPr>
        <w:ind w:left="7088" w:hanging="7088"/>
        <w:rPr>
          <w:rFonts w:ascii="Times New Roman" w:hAnsi="Times New Roman"/>
          <w:sz w:val="28"/>
          <w:szCs w:val="28"/>
        </w:rPr>
      </w:pPr>
      <w:r w:rsidRPr="008B381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Pr="008B381F">
        <w:rPr>
          <w:rFonts w:ascii="Times New Roman" w:hAnsi="Times New Roman"/>
          <w:sz w:val="28"/>
          <w:szCs w:val="28"/>
        </w:rPr>
        <w:t xml:space="preserve">    </w:t>
      </w:r>
    </w:p>
    <w:p w:rsidR="008B381F" w:rsidRPr="008B381F" w:rsidRDefault="008B381F" w:rsidP="008B381F">
      <w:pPr>
        <w:ind w:left="7088" w:hanging="7088"/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ind w:left="7088" w:hanging="7088"/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ind w:left="7088" w:hanging="7088"/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ind w:left="7088" w:hanging="7088"/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ind w:left="7088" w:hanging="7088"/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ind w:left="7088" w:hanging="7088"/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ind w:left="7088" w:hanging="7088"/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ind w:left="7088" w:hanging="7088"/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ind w:left="7088" w:hanging="7088"/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ind w:left="7088" w:hanging="7088"/>
        <w:rPr>
          <w:rFonts w:ascii="Times New Roman" w:hAnsi="Times New Roman"/>
          <w:sz w:val="28"/>
          <w:szCs w:val="28"/>
        </w:rPr>
      </w:pPr>
    </w:p>
    <w:p w:rsidR="008B381F" w:rsidRDefault="008B381F" w:rsidP="008B381F">
      <w:pPr>
        <w:rPr>
          <w:rFonts w:ascii="Times New Roman" w:hAnsi="Times New Roman"/>
          <w:sz w:val="28"/>
          <w:szCs w:val="28"/>
        </w:rPr>
      </w:pPr>
    </w:p>
    <w:p w:rsidR="008B381F" w:rsidRDefault="008B381F" w:rsidP="008B381F">
      <w:pPr>
        <w:rPr>
          <w:rFonts w:ascii="Times New Roman" w:hAnsi="Times New Roman"/>
          <w:sz w:val="28"/>
          <w:szCs w:val="28"/>
        </w:rPr>
      </w:pPr>
    </w:p>
    <w:p w:rsidR="008B381F" w:rsidRDefault="008B381F" w:rsidP="008B381F">
      <w:pPr>
        <w:rPr>
          <w:rFonts w:ascii="Times New Roman" w:hAnsi="Times New Roman"/>
          <w:sz w:val="28"/>
          <w:szCs w:val="28"/>
        </w:rPr>
      </w:pPr>
    </w:p>
    <w:p w:rsidR="008B381F" w:rsidRDefault="008B381F" w:rsidP="008B381F">
      <w:pPr>
        <w:rPr>
          <w:rFonts w:ascii="Times New Roman" w:hAnsi="Times New Roman"/>
          <w:sz w:val="28"/>
          <w:szCs w:val="28"/>
        </w:rPr>
      </w:pPr>
    </w:p>
    <w:p w:rsidR="008B381F" w:rsidRDefault="008B381F" w:rsidP="008B381F">
      <w:pPr>
        <w:rPr>
          <w:rFonts w:ascii="Times New Roman" w:hAnsi="Times New Roman"/>
          <w:sz w:val="28"/>
          <w:szCs w:val="28"/>
        </w:rPr>
      </w:pPr>
    </w:p>
    <w:p w:rsidR="008B381F" w:rsidRDefault="008B381F" w:rsidP="008B381F">
      <w:pPr>
        <w:rPr>
          <w:rFonts w:ascii="Times New Roman" w:hAnsi="Times New Roman"/>
          <w:sz w:val="28"/>
          <w:szCs w:val="28"/>
        </w:rPr>
      </w:pPr>
    </w:p>
    <w:p w:rsidR="008B381F" w:rsidRDefault="008B381F" w:rsidP="008B381F">
      <w:pPr>
        <w:rPr>
          <w:rFonts w:ascii="Times New Roman" w:hAnsi="Times New Roman"/>
          <w:sz w:val="28"/>
          <w:szCs w:val="28"/>
        </w:rPr>
      </w:pPr>
    </w:p>
    <w:p w:rsidR="008B381F" w:rsidRDefault="008B381F" w:rsidP="008B381F">
      <w:pPr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tabs>
          <w:tab w:val="left" w:pos="7870"/>
        </w:tabs>
        <w:jc w:val="both"/>
        <w:rPr>
          <w:rFonts w:ascii="Times New Roman" w:hAnsi="Times New Roman"/>
          <w:sz w:val="28"/>
          <w:szCs w:val="28"/>
        </w:rPr>
      </w:pPr>
      <w:r w:rsidRPr="008B381F">
        <w:rPr>
          <w:rFonts w:ascii="Times New Roman" w:hAnsi="Times New Roman"/>
          <w:sz w:val="28"/>
          <w:szCs w:val="28"/>
        </w:rPr>
        <w:t xml:space="preserve"> </w:t>
      </w:r>
      <w:r w:rsidRPr="008B381F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19"/>
      </w:tblGrid>
      <w:tr w:rsidR="008B381F" w:rsidRPr="008B381F" w:rsidTr="0099460B">
        <w:trPr>
          <w:trHeight w:val="839"/>
        </w:trPr>
        <w:tc>
          <w:tcPr>
            <w:tcW w:w="4319" w:type="dxa"/>
          </w:tcPr>
          <w:p w:rsidR="008B381F" w:rsidRPr="008B381F" w:rsidRDefault="008B381F" w:rsidP="0099460B">
            <w:pPr>
              <w:ind w:left="7088" w:hanging="708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B381F">
              <w:rPr>
                <w:rFonts w:ascii="Times New Roman" w:hAnsi="Times New Roman"/>
              </w:rPr>
              <w:lastRenderedPageBreak/>
              <w:t>Приложение № 2</w:t>
            </w:r>
          </w:p>
          <w:p w:rsidR="008B381F" w:rsidRPr="008B381F" w:rsidRDefault="008B381F" w:rsidP="0099460B">
            <w:pPr>
              <w:jc w:val="center"/>
              <w:rPr>
                <w:rFonts w:ascii="Times New Roman" w:hAnsi="Times New Roman"/>
              </w:rPr>
            </w:pPr>
            <w:r w:rsidRPr="008B381F">
              <w:rPr>
                <w:rFonts w:ascii="Times New Roman" w:hAnsi="Times New Roman"/>
              </w:rPr>
              <w:t>к  Решению Совета народных депутатов муниципального образования Сарыевское Вязниковского района</w:t>
            </w:r>
          </w:p>
          <w:p w:rsidR="008B381F" w:rsidRPr="008B381F" w:rsidRDefault="008B381F" w:rsidP="0099460B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8B381F">
              <w:rPr>
                <w:rFonts w:ascii="Times New Roman" w:hAnsi="Times New Roman"/>
              </w:rPr>
              <w:t xml:space="preserve">от </w:t>
            </w:r>
            <w:r w:rsidRPr="008B381F">
              <w:rPr>
                <w:rFonts w:ascii="Times New Roman" w:hAnsi="Times New Roman"/>
                <w:u w:val="single"/>
              </w:rPr>
              <w:t>21.02.2019</w:t>
            </w:r>
            <w:r w:rsidRPr="008B381F">
              <w:rPr>
                <w:rFonts w:ascii="Times New Roman" w:hAnsi="Times New Roman"/>
              </w:rPr>
              <w:t xml:space="preserve"> № </w:t>
            </w:r>
            <w:r w:rsidRPr="008B381F">
              <w:rPr>
                <w:rFonts w:ascii="Times New Roman" w:hAnsi="Times New Roman"/>
                <w:u w:val="single"/>
              </w:rPr>
              <w:t>13</w:t>
            </w:r>
            <w:r w:rsidR="00C07B22">
              <w:rPr>
                <w:rFonts w:ascii="Times New Roman" w:hAnsi="Times New Roman"/>
                <w:u w:val="single"/>
              </w:rPr>
              <w:t>8</w:t>
            </w:r>
          </w:p>
          <w:p w:rsidR="008B381F" w:rsidRPr="008B381F" w:rsidRDefault="008B381F" w:rsidP="0099460B">
            <w:pPr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</w:tr>
    </w:tbl>
    <w:p w:rsidR="008B381F" w:rsidRPr="008B381F" w:rsidRDefault="008B381F" w:rsidP="008B381F">
      <w:pPr>
        <w:tabs>
          <w:tab w:val="left" w:pos="7870"/>
        </w:tabs>
        <w:jc w:val="both"/>
        <w:rPr>
          <w:rFonts w:ascii="Times New Roman" w:hAnsi="Times New Roman"/>
          <w:sz w:val="28"/>
          <w:szCs w:val="28"/>
        </w:rPr>
      </w:pPr>
    </w:p>
    <w:p w:rsidR="008B381F" w:rsidRPr="008B381F" w:rsidRDefault="008B381F" w:rsidP="008B381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381F" w:rsidRPr="008B381F" w:rsidRDefault="008B381F" w:rsidP="008B381F">
      <w:pPr>
        <w:rPr>
          <w:rFonts w:ascii="Times New Roman" w:hAnsi="Times New Roman"/>
          <w:b/>
          <w:bCs/>
          <w:sz w:val="28"/>
          <w:szCs w:val="28"/>
        </w:rPr>
      </w:pPr>
    </w:p>
    <w:p w:rsidR="008B381F" w:rsidRPr="008B381F" w:rsidRDefault="008B381F" w:rsidP="008B381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B381F" w:rsidRPr="008B381F" w:rsidRDefault="008B381F" w:rsidP="008B381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B381F" w:rsidRPr="008B381F" w:rsidRDefault="008B381F" w:rsidP="008B381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B381F" w:rsidRPr="008B381F" w:rsidRDefault="008B381F" w:rsidP="008B381F">
      <w:pPr>
        <w:jc w:val="center"/>
        <w:rPr>
          <w:rFonts w:ascii="Times New Roman" w:hAnsi="Times New Roman"/>
          <w:szCs w:val="28"/>
        </w:rPr>
      </w:pPr>
      <w:r w:rsidRPr="008B381F">
        <w:rPr>
          <w:rFonts w:ascii="Times New Roman" w:hAnsi="Times New Roman"/>
          <w:szCs w:val="28"/>
        </w:rPr>
        <w:t>ТАРИФЫ</w:t>
      </w:r>
    </w:p>
    <w:p w:rsidR="008B381F" w:rsidRPr="008B381F" w:rsidRDefault="008B381F" w:rsidP="008B381F">
      <w:pPr>
        <w:pStyle w:val="ab"/>
        <w:rPr>
          <w:b w:val="0"/>
          <w:sz w:val="28"/>
          <w:szCs w:val="28"/>
        </w:rPr>
      </w:pPr>
      <w:r w:rsidRPr="008B381F">
        <w:rPr>
          <w:b w:val="0"/>
          <w:sz w:val="28"/>
          <w:szCs w:val="28"/>
        </w:rPr>
        <w:t>услуг по погребению умерших, при отсутствии лиц, взявших на себя обязанности осуществить погребение умершего, предоставляемых специализированной службой по вопросам похоронного дела, на территории муниципального образования муниципального образования Сарыевское</w:t>
      </w:r>
    </w:p>
    <w:p w:rsidR="008B381F" w:rsidRPr="008B381F" w:rsidRDefault="008B381F" w:rsidP="008B381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B381F" w:rsidRPr="008B381F" w:rsidRDefault="008B381F" w:rsidP="008B381F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3"/>
        <w:gridCol w:w="2790"/>
      </w:tblGrid>
      <w:tr w:rsidR="008B381F" w:rsidRPr="008B381F" w:rsidTr="0099460B">
        <w:tc>
          <w:tcPr>
            <w:tcW w:w="7063" w:type="dxa"/>
          </w:tcPr>
          <w:p w:rsidR="008B381F" w:rsidRPr="008B381F" w:rsidRDefault="008B381F" w:rsidP="0099460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2790" w:type="dxa"/>
          </w:tcPr>
          <w:p w:rsidR="008B381F" w:rsidRPr="008B381F" w:rsidRDefault="008B381F" w:rsidP="0099460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>Тариф, руб.</w:t>
            </w:r>
          </w:p>
        </w:tc>
      </w:tr>
      <w:tr w:rsidR="008B381F" w:rsidRPr="008B381F" w:rsidTr="0099460B">
        <w:tc>
          <w:tcPr>
            <w:tcW w:w="7063" w:type="dxa"/>
          </w:tcPr>
          <w:p w:rsidR="008B381F" w:rsidRPr="008B381F" w:rsidRDefault="008B381F" w:rsidP="009946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>Облачение тела</w:t>
            </w:r>
          </w:p>
        </w:tc>
        <w:tc>
          <w:tcPr>
            <w:tcW w:w="2790" w:type="dxa"/>
          </w:tcPr>
          <w:p w:rsidR="008B381F" w:rsidRPr="008B381F" w:rsidRDefault="008B381F" w:rsidP="0099460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>255,26</w:t>
            </w:r>
          </w:p>
        </w:tc>
      </w:tr>
      <w:tr w:rsidR="008B381F" w:rsidRPr="008B381F" w:rsidTr="0099460B">
        <w:tc>
          <w:tcPr>
            <w:tcW w:w="7063" w:type="dxa"/>
          </w:tcPr>
          <w:p w:rsidR="008B381F" w:rsidRPr="008B381F" w:rsidRDefault="008B381F" w:rsidP="009946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>Предоставление гроба  строганного</w:t>
            </w:r>
          </w:p>
        </w:tc>
        <w:tc>
          <w:tcPr>
            <w:tcW w:w="2790" w:type="dxa"/>
          </w:tcPr>
          <w:p w:rsidR="008B381F" w:rsidRPr="008B381F" w:rsidRDefault="008B381F" w:rsidP="0099460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>834,40</w:t>
            </w:r>
          </w:p>
        </w:tc>
      </w:tr>
      <w:tr w:rsidR="008B381F" w:rsidRPr="008B381F" w:rsidTr="0099460B">
        <w:tc>
          <w:tcPr>
            <w:tcW w:w="7063" w:type="dxa"/>
          </w:tcPr>
          <w:p w:rsidR="008B381F" w:rsidRPr="008B381F" w:rsidRDefault="008B381F" w:rsidP="009946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>Перевозка тела (останков) умершего на кладбище (норма времени 2,6 часа)</w:t>
            </w:r>
          </w:p>
        </w:tc>
        <w:tc>
          <w:tcPr>
            <w:tcW w:w="2790" w:type="dxa"/>
          </w:tcPr>
          <w:p w:rsidR="008B381F" w:rsidRPr="008B381F" w:rsidRDefault="008B381F" w:rsidP="005B452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>2822,8</w:t>
            </w:r>
            <w:r w:rsidR="005B45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B381F" w:rsidRPr="008B381F" w:rsidTr="0099460B">
        <w:tc>
          <w:tcPr>
            <w:tcW w:w="7063" w:type="dxa"/>
          </w:tcPr>
          <w:p w:rsidR="008B381F" w:rsidRPr="008B381F" w:rsidRDefault="008B381F" w:rsidP="009946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>Погребение</w:t>
            </w:r>
          </w:p>
        </w:tc>
        <w:tc>
          <w:tcPr>
            <w:tcW w:w="2790" w:type="dxa"/>
          </w:tcPr>
          <w:p w:rsidR="008B381F" w:rsidRPr="008B381F" w:rsidRDefault="005B4525" w:rsidP="0099460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2033</w:t>
            </w:r>
            <w:r w:rsidR="008B381F" w:rsidRPr="008B381F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8B381F" w:rsidRPr="008B381F" w:rsidTr="0099460B">
        <w:tc>
          <w:tcPr>
            <w:tcW w:w="7063" w:type="dxa"/>
          </w:tcPr>
          <w:p w:rsidR="008B381F" w:rsidRPr="008B381F" w:rsidRDefault="008B381F" w:rsidP="009946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790" w:type="dxa"/>
          </w:tcPr>
          <w:p w:rsidR="008B381F" w:rsidRPr="008B381F" w:rsidRDefault="008B381F" w:rsidP="0099460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81F">
              <w:rPr>
                <w:rFonts w:ascii="Times New Roman" w:hAnsi="Times New Roman"/>
                <w:bCs/>
                <w:sz w:val="28"/>
                <w:szCs w:val="28"/>
              </w:rPr>
              <w:t>5946,47</w:t>
            </w:r>
          </w:p>
        </w:tc>
      </w:tr>
    </w:tbl>
    <w:p w:rsidR="008B381F" w:rsidRPr="008B381F" w:rsidRDefault="008B381F" w:rsidP="008B381F">
      <w:pPr>
        <w:suppressLineNumbers/>
        <w:shd w:val="clear" w:color="auto" w:fill="FFFFFF"/>
        <w:suppressAutoHyphens/>
        <w:ind w:right="11" w:firstLine="708"/>
        <w:jc w:val="both"/>
        <w:rPr>
          <w:rFonts w:ascii="Times New Roman" w:hAnsi="Times New Roman"/>
          <w:sz w:val="28"/>
        </w:rPr>
      </w:pPr>
    </w:p>
    <w:p w:rsidR="008B381F" w:rsidRPr="008B381F" w:rsidRDefault="008B381F" w:rsidP="008B381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  <w:tab w:val="left" w:pos="988"/>
        </w:tabs>
        <w:spacing w:line="317" w:lineRule="exact"/>
        <w:ind w:right="46"/>
        <w:rPr>
          <w:rFonts w:ascii="Times New Roman" w:hAnsi="Times New Roman"/>
          <w:color w:val="FF0000"/>
        </w:rPr>
      </w:pPr>
      <w:r w:rsidRPr="008B381F">
        <w:rPr>
          <w:rFonts w:ascii="Times New Roman" w:hAnsi="Times New Roman"/>
          <w:color w:val="FF0000"/>
        </w:rPr>
        <w:tab/>
      </w:r>
      <w:r w:rsidRPr="008B381F">
        <w:rPr>
          <w:rFonts w:ascii="Times New Roman" w:hAnsi="Times New Roman"/>
          <w:color w:val="FF0000"/>
        </w:rPr>
        <w:tab/>
      </w:r>
    </w:p>
    <w:p w:rsidR="008B381F" w:rsidRPr="008B381F" w:rsidRDefault="008B381F" w:rsidP="008B381F">
      <w:pPr>
        <w:shd w:val="clear" w:color="auto" w:fill="FFFFFF"/>
        <w:tabs>
          <w:tab w:val="left" w:pos="298"/>
          <w:tab w:val="left" w:pos="988"/>
        </w:tabs>
        <w:spacing w:line="317" w:lineRule="exact"/>
        <w:ind w:right="46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rPr>
          <w:rFonts w:ascii="Times New Roman" w:hAnsi="Times New Roman"/>
          <w:color w:val="FF0000"/>
        </w:rPr>
      </w:pPr>
    </w:p>
    <w:p w:rsid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p w:rsidR="008B381F" w:rsidRPr="008B381F" w:rsidRDefault="008B381F" w:rsidP="008B381F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rFonts w:ascii="Times New Roman" w:hAnsi="Times New Roman"/>
          <w:color w:val="FF000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19"/>
      </w:tblGrid>
      <w:tr w:rsidR="008B381F" w:rsidRPr="008B381F" w:rsidTr="0099460B">
        <w:trPr>
          <w:trHeight w:val="839"/>
        </w:trPr>
        <w:tc>
          <w:tcPr>
            <w:tcW w:w="4319" w:type="dxa"/>
          </w:tcPr>
          <w:p w:rsidR="008B381F" w:rsidRPr="008B381F" w:rsidRDefault="008B381F" w:rsidP="0099460B">
            <w:pPr>
              <w:ind w:left="7088" w:hanging="708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B381F">
              <w:rPr>
                <w:rFonts w:ascii="Times New Roman" w:hAnsi="Times New Roman"/>
              </w:rPr>
              <w:lastRenderedPageBreak/>
              <w:t>Приложение № 3</w:t>
            </w:r>
          </w:p>
          <w:p w:rsidR="008B381F" w:rsidRPr="008B381F" w:rsidRDefault="008B381F" w:rsidP="0099460B">
            <w:pPr>
              <w:jc w:val="center"/>
              <w:rPr>
                <w:rFonts w:ascii="Times New Roman" w:hAnsi="Times New Roman"/>
              </w:rPr>
            </w:pPr>
            <w:r w:rsidRPr="008B381F">
              <w:rPr>
                <w:rFonts w:ascii="Times New Roman" w:hAnsi="Times New Roman"/>
              </w:rPr>
              <w:t>к  Решению Совета народных депутатов муниципального образования Сарыевское Вязниковского района</w:t>
            </w:r>
          </w:p>
          <w:p w:rsidR="008B381F" w:rsidRPr="008B381F" w:rsidRDefault="008B381F" w:rsidP="0099460B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8B381F">
              <w:rPr>
                <w:rFonts w:ascii="Times New Roman" w:hAnsi="Times New Roman"/>
              </w:rPr>
              <w:t xml:space="preserve">от </w:t>
            </w:r>
            <w:r w:rsidRPr="008B381F">
              <w:rPr>
                <w:rFonts w:ascii="Times New Roman" w:hAnsi="Times New Roman"/>
                <w:u w:val="single"/>
              </w:rPr>
              <w:t>21.02.2019</w:t>
            </w:r>
            <w:r w:rsidRPr="008B381F">
              <w:rPr>
                <w:rFonts w:ascii="Times New Roman" w:hAnsi="Times New Roman"/>
              </w:rPr>
              <w:t xml:space="preserve"> № </w:t>
            </w:r>
            <w:r w:rsidRPr="008B381F">
              <w:rPr>
                <w:rFonts w:ascii="Times New Roman" w:hAnsi="Times New Roman"/>
                <w:u w:val="single"/>
              </w:rPr>
              <w:t>13</w:t>
            </w:r>
            <w:r w:rsidR="00C07B22">
              <w:rPr>
                <w:rFonts w:ascii="Times New Roman" w:hAnsi="Times New Roman"/>
                <w:u w:val="single"/>
              </w:rPr>
              <w:t>8</w:t>
            </w:r>
          </w:p>
          <w:p w:rsidR="008B381F" w:rsidRPr="008B381F" w:rsidRDefault="008B381F" w:rsidP="0099460B">
            <w:pPr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</w:tr>
    </w:tbl>
    <w:p w:rsidR="008B381F" w:rsidRPr="008B381F" w:rsidRDefault="008B381F" w:rsidP="008B381F">
      <w:pPr>
        <w:autoSpaceDE w:val="0"/>
        <w:autoSpaceDN w:val="0"/>
        <w:adjustRightInd w:val="0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B381F" w:rsidRPr="008B381F" w:rsidRDefault="008B381F" w:rsidP="008B381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B381F" w:rsidRPr="008B381F" w:rsidRDefault="008B381F" w:rsidP="008B381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B381F" w:rsidRPr="008B381F" w:rsidRDefault="008B381F" w:rsidP="008B381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B381F" w:rsidRPr="008B381F" w:rsidRDefault="008B381F" w:rsidP="008B381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B381F" w:rsidRPr="008B381F" w:rsidRDefault="008B381F" w:rsidP="008B381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B381F" w:rsidRPr="008B381F" w:rsidRDefault="008B381F" w:rsidP="008B381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B381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Требования</w:t>
      </w:r>
    </w:p>
    <w:p w:rsidR="008B381F" w:rsidRPr="008B381F" w:rsidRDefault="008B381F" w:rsidP="008B381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B381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 качеству услуг по погребению, предоставляемых супругу, близким родственникам, иным родственникам, законному </w:t>
      </w:r>
      <w:r w:rsidRPr="008B381F">
        <w:rPr>
          <w:rFonts w:ascii="Times New Roman" w:hAnsi="Times New Roman"/>
          <w:sz w:val="28"/>
          <w:szCs w:val="28"/>
        </w:rPr>
        <w:t>представителю или иному лицу, взявшему на себя обязанность осуществить погребение умершего</w:t>
      </w:r>
    </w:p>
    <w:p w:rsidR="008B381F" w:rsidRPr="008B381F" w:rsidRDefault="008B381F" w:rsidP="008B38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"/>
        <w:gridCol w:w="2919"/>
        <w:gridCol w:w="6185"/>
      </w:tblGrid>
      <w:tr w:rsidR="008B381F" w:rsidRPr="008B381F" w:rsidTr="00746E31">
        <w:trPr>
          <w:trHeight w:val="144"/>
        </w:trPr>
        <w:tc>
          <w:tcPr>
            <w:tcW w:w="689" w:type="dxa"/>
          </w:tcPr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381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19" w:type="dxa"/>
          </w:tcPr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услуги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1F">
              <w:rPr>
                <w:rFonts w:ascii="Times New Roman" w:hAnsi="Times New Roman"/>
                <w:sz w:val="28"/>
                <w:szCs w:val="28"/>
              </w:rPr>
              <w:t>по погребению</w:t>
            </w:r>
          </w:p>
        </w:tc>
        <w:tc>
          <w:tcPr>
            <w:tcW w:w="6185" w:type="dxa"/>
          </w:tcPr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Требования к качеству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      </w:r>
          </w:p>
        </w:tc>
      </w:tr>
      <w:tr w:rsidR="008B381F" w:rsidRPr="008B381F" w:rsidTr="00746E31">
        <w:trPr>
          <w:trHeight w:val="144"/>
        </w:trPr>
        <w:tc>
          <w:tcPr>
            <w:tcW w:w="689" w:type="dxa"/>
          </w:tcPr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85" w:type="dxa"/>
          </w:tcPr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8B381F" w:rsidRPr="008B381F" w:rsidTr="00746E31">
        <w:trPr>
          <w:trHeight w:val="144"/>
        </w:trPr>
        <w:tc>
          <w:tcPr>
            <w:tcW w:w="689" w:type="dxa"/>
          </w:tcPr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Оформление документов, необходимых для погребения 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оформление заказа от супруга, близкого родственника, иного родственника, законного представителя умершего или иного лица, взявшего на себя обязанность осуществить погребение умершего (далее – заявитель); 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обеспечение получения свидетельства о смерти, выдаваемого органами записи актов гражданского состояния, и справки о смерти по форме № 33, утвержденной постановлением Правительства Российской Федерации 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 (в случае, если указанные документы у заявителя отсутствуют); 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оформление заявления об определении места захоронения (ниши стены скорби) для погребения умершего; 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оформление счета – заказа на похороны; 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81F">
              <w:rPr>
                <w:rFonts w:ascii="Times New Roman" w:hAnsi="Times New Roman"/>
                <w:sz w:val="28"/>
                <w:szCs w:val="28"/>
              </w:rPr>
              <w:t xml:space="preserve">- составление акта об оказанных услугах. </w:t>
            </w:r>
          </w:p>
        </w:tc>
      </w:tr>
      <w:tr w:rsidR="008B381F" w:rsidRPr="008B381F" w:rsidTr="00746E31">
        <w:trPr>
          <w:trHeight w:val="144"/>
        </w:trPr>
        <w:tc>
          <w:tcPr>
            <w:tcW w:w="689" w:type="dxa"/>
          </w:tcPr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19" w:type="dxa"/>
          </w:tcPr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Предоставление и доставка гроба и других предметов, необходимых для погребения 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- для погребения предоставляются гроб трапециевидный, изготовленный из необрезной доски (сосна) толщиной 20 мм, обитый хлопчатобумажной тканью, подушка в гроб (ткань, наполнитель – опилки), временная </w:t>
            </w: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металлическая конструкция с намогильным регистрационным знаком (с указанием фамилии, инициалов и даты погребения умершего или погибшего, дат его рождения и смерти); 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- доставка гроба и других принадлежностей специализированным транспортом по адресу, указанному представителем умершего при оформлении заказа, подъем на этаж. Укладывание тела (останков) умершего в гроб;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по желанию заявителя гроб, подушка, обивка могут быть улучшенного качества </w:t>
            </w:r>
          </w:p>
        </w:tc>
      </w:tr>
      <w:tr w:rsidR="008B381F" w:rsidRPr="008B381F" w:rsidTr="00746E31">
        <w:trPr>
          <w:trHeight w:val="144"/>
        </w:trPr>
        <w:tc>
          <w:tcPr>
            <w:tcW w:w="689" w:type="dxa"/>
          </w:tcPr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1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19" w:type="dxa"/>
          </w:tcPr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Перевозка тела (останков) умершего на кладбище (в крематорий) 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перевозка тела (останков) умершего работниками специализированной службы по вопросам похоронного дела на кладбище (в крематорий) включает вынос гроба с телом (останками) умершего, погрузку в специализированный транспорт и перевозку гроба с телом (останками) умершего из места, указанного представителем умершего при оформлении заказа, до кладбища (крематория) с соблюдением скорости движения, не превышающей 40 км/ч, перемещение гроба с телом умершего до места захоронения (кремации). Перевозка осуществляется в соответствии с установленными санитарными, гигиеническими и этическими требованиями </w:t>
            </w:r>
          </w:p>
        </w:tc>
      </w:tr>
      <w:tr w:rsidR="008B381F" w:rsidRPr="008B381F" w:rsidTr="00746E31">
        <w:trPr>
          <w:trHeight w:val="144"/>
        </w:trPr>
        <w:tc>
          <w:tcPr>
            <w:tcW w:w="689" w:type="dxa"/>
          </w:tcPr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19" w:type="dxa"/>
            <w:vMerge w:val="restart"/>
          </w:tcPr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Погребение путем предания тела умершего земле</w:t>
            </w:r>
          </w:p>
        </w:tc>
        <w:tc>
          <w:tcPr>
            <w:tcW w:w="6185" w:type="dxa"/>
            <w:vMerge w:val="restart"/>
          </w:tcPr>
          <w:p w:rsidR="008B381F" w:rsidRPr="008B381F" w:rsidRDefault="008B381F" w:rsidP="009946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погребение осуществляется в могилу на отведенном земельном участке действующего кладбища; </w:t>
            </w:r>
          </w:p>
          <w:p w:rsidR="008B381F" w:rsidRPr="008B381F" w:rsidRDefault="008B381F" w:rsidP="009946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- размер земельного участка определяется в соответствии с решением Совета народных депутатов муниципального образования Сарыевское от 16.11.2017 №68 «О принятии Положения об организации ритуальных услуг, погребения, похоронного дела и содержания кладбищ на территории муниципального образования Сарыевское Вязниковского района»;</w:t>
            </w:r>
          </w:p>
          <w:p w:rsidR="008B381F" w:rsidRPr="008B381F" w:rsidRDefault="008B381F" w:rsidP="009946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- размер могилы для захоронения гроба с телом установлен: длина – 2,5 м, ширина – 1 м, глубина – 2 м.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Работы по погребению включают: 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рытье могилы вручную; 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фиксацию крышки гроба; 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опускание гроба с телом (останками) умершего в могилу; 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- засыпку могилы вручную; 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устройство намогильного холма; 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hAnsi="Times New Roman"/>
                <w:sz w:val="28"/>
                <w:szCs w:val="28"/>
              </w:rPr>
              <w:t>- установку временной металлической конструкции с намогильным регистрационным знаком на могильном холме.</w:t>
            </w:r>
          </w:p>
        </w:tc>
      </w:tr>
      <w:tr w:rsidR="008B381F" w:rsidRPr="008B381F" w:rsidTr="00746E31">
        <w:trPr>
          <w:trHeight w:val="315"/>
        </w:trPr>
        <w:tc>
          <w:tcPr>
            <w:tcW w:w="689" w:type="dxa"/>
            <w:tcBorders>
              <w:bottom w:val="single" w:sz="4" w:space="0" w:color="000000"/>
            </w:tcBorders>
          </w:tcPr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bottom w:val="single" w:sz="4" w:space="0" w:color="000000"/>
            </w:tcBorders>
          </w:tcPr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85" w:type="dxa"/>
            <w:vMerge/>
            <w:tcBorders>
              <w:bottom w:val="single" w:sz="4" w:space="0" w:color="000000"/>
            </w:tcBorders>
          </w:tcPr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81F" w:rsidRPr="008B381F" w:rsidTr="00746E31">
        <w:trPr>
          <w:trHeight w:val="5151"/>
        </w:trPr>
        <w:tc>
          <w:tcPr>
            <w:tcW w:w="689" w:type="dxa"/>
            <w:tcBorders>
              <w:bottom w:val="single" w:sz="4" w:space="0" w:color="auto"/>
            </w:tcBorders>
          </w:tcPr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81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Погребение путем предания тела умершего огню (кремация) 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5" w:type="dxa"/>
            <w:tcBorders>
              <w:bottom w:val="single" w:sz="4" w:space="0" w:color="auto"/>
            </w:tcBorders>
          </w:tcPr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- предание тела умершего огню осуществляется в крематории с последующей выдачей урны с прахом (специальной пластиковой капсулы с указанным на ней порядковым номером) и справки о кремации;</w:t>
            </w:r>
          </w:p>
          <w:p w:rsidR="008B381F" w:rsidRPr="008B381F" w:rsidRDefault="008B381F" w:rsidP="009946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- размер земельного участка определяется в соответствии с решением Совета народных депутатов муниципального образования Сарыевское от 16.11.2017 №68 «О принятии Положения об организации ритуальных услуг, погребения, похоронного дела и содержания кладбищ на территории муниципального образования Сарыевское Вязниковского района»;</w:t>
            </w:r>
          </w:p>
          <w:p w:rsidR="008B381F" w:rsidRPr="008B381F" w:rsidRDefault="008B381F" w:rsidP="009946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- размер могилы для захоронения урны с прахом установлен: длина – 0,75 м, ширина – 0,75 м, глубина – 0,4 м.</w:t>
            </w:r>
          </w:p>
        </w:tc>
      </w:tr>
      <w:tr w:rsidR="008B381F" w:rsidRPr="008B381F" w:rsidTr="00746E31">
        <w:trPr>
          <w:trHeight w:val="2223"/>
        </w:trPr>
        <w:tc>
          <w:tcPr>
            <w:tcW w:w="9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Примечания: 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Для оформления документов, необходимых для погребения, заявителем представляются: 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документ, удостоверяющий личность заявителя; 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документы, удостоверяющие личность и подтверждающие полномочия представителя заявителя (в случае, если обращается представитель заявителя); 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свидетельство о смерти, выданное органами записи актов гражданского состояния, и справка о смерти по форме № 33, утвержденной постановлением Правительства Российской Федерации 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 (при наличии); 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паспорт умершего и документ, подтверждающий факт смерти (при отсутствии документов, предусмотренных абзацем четвертым примечаний); 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паспорт семейного захоронения (в случае погребения на семейном захоронении); </w:t>
            </w:r>
          </w:p>
          <w:p w:rsidR="008B381F" w:rsidRPr="008B381F" w:rsidRDefault="008B381F" w:rsidP="0099460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B38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- справку с места работы умершего о том, что на момент смерти он работал в данной организации, с указанием реквизитов, адреса, контактных телефонов организации (в случае, если умерший на день смерти работал).</w:t>
            </w:r>
          </w:p>
        </w:tc>
      </w:tr>
    </w:tbl>
    <w:p w:rsidR="00EC548B" w:rsidRPr="008B381F" w:rsidRDefault="00EC548B" w:rsidP="00680148">
      <w:pPr>
        <w:pStyle w:val="ab"/>
        <w:jc w:val="left"/>
        <w:rPr>
          <w:b w:val="0"/>
        </w:rPr>
      </w:pPr>
    </w:p>
    <w:sectPr w:rsidR="00EC548B" w:rsidRPr="008B381F" w:rsidSect="00AE6BD8">
      <w:headerReference w:type="even" r:id="rId8"/>
      <w:pgSz w:w="11906" w:h="16838"/>
      <w:pgMar w:top="1134" w:right="567" w:bottom="1134" w:left="1418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86" w:rsidRDefault="00870F86">
      <w:r>
        <w:separator/>
      </w:r>
    </w:p>
  </w:endnote>
  <w:endnote w:type="continuationSeparator" w:id="0">
    <w:p w:rsidR="00870F86" w:rsidRDefault="0087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86" w:rsidRDefault="00870F86">
      <w:r>
        <w:separator/>
      </w:r>
    </w:p>
  </w:footnote>
  <w:footnote w:type="continuationSeparator" w:id="0">
    <w:p w:rsidR="00870F86" w:rsidRDefault="0087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97" w:rsidRDefault="00B832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59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5997" w:rsidRDefault="00A259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63B"/>
    <w:multiLevelType w:val="hybridMultilevel"/>
    <w:tmpl w:val="B21C8862"/>
    <w:lvl w:ilvl="0" w:tplc="21B68D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A0204"/>
    <w:multiLevelType w:val="hybridMultilevel"/>
    <w:tmpl w:val="3C060420"/>
    <w:lvl w:ilvl="0" w:tplc="D86C4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D06DB5"/>
    <w:multiLevelType w:val="multilevel"/>
    <w:tmpl w:val="FF42414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5661325"/>
    <w:multiLevelType w:val="hybridMultilevel"/>
    <w:tmpl w:val="00B807C8"/>
    <w:lvl w:ilvl="0" w:tplc="39BC3BBC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9BC72FA"/>
    <w:multiLevelType w:val="hybridMultilevel"/>
    <w:tmpl w:val="BF76C100"/>
    <w:lvl w:ilvl="0" w:tplc="BF629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A06"/>
    <w:rsid w:val="0000508A"/>
    <w:rsid w:val="00011CF0"/>
    <w:rsid w:val="00015B50"/>
    <w:rsid w:val="0002236F"/>
    <w:rsid w:val="0002310D"/>
    <w:rsid w:val="00026EF3"/>
    <w:rsid w:val="00034120"/>
    <w:rsid w:val="00035B93"/>
    <w:rsid w:val="00055ADA"/>
    <w:rsid w:val="00057F6A"/>
    <w:rsid w:val="000742C5"/>
    <w:rsid w:val="000758B9"/>
    <w:rsid w:val="00083CCA"/>
    <w:rsid w:val="00086973"/>
    <w:rsid w:val="000B3424"/>
    <w:rsid w:val="000D0C05"/>
    <w:rsid w:val="000D2E5D"/>
    <w:rsid w:val="000E10ED"/>
    <w:rsid w:val="001178B8"/>
    <w:rsid w:val="001307F5"/>
    <w:rsid w:val="00131236"/>
    <w:rsid w:val="001628D2"/>
    <w:rsid w:val="00165760"/>
    <w:rsid w:val="001740E3"/>
    <w:rsid w:val="00177AF7"/>
    <w:rsid w:val="001A22E2"/>
    <w:rsid w:val="001A651D"/>
    <w:rsid w:val="001E2BF6"/>
    <w:rsid w:val="001F20FC"/>
    <w:rsid w:val="00201D4E"/>
    <w:rsid w:val="00203401"/>
    <w:rsid w:val="00214143"/>
    <w:rsid w:val="00214DC2"/>
    <w:rsid w:val="00222436"/>
    <w:rsid w:val="002243AB"/>
    <w:rsid w:val="00227DCB"/>
    <w:rsid w:val="00234ED0"/>
    <w:rsid w:val="00240279"/>
    <w:rsid w:val="00246AED"/>
    <w:rsid w:val="00254DBE"/>
    <w:rsid w:val="00255F9C"/>
    <w:rsid w:val="00260638"/>
    <w:rsid w:val="002706C8"/>
    <w:rsid w:val="002841AC"/>
    <w:rsid w:val="00290281"/>
    <w:rsid w:val="002A6299"/>
    <w:rsid w:val="002C7501"/>
    <w:rsid w:val="002D10A7"/>
    <w:rsid w:val="002D1535"/>
    <w:rsid w:val="002D5CA7"/>
    <w:rsid w:val="003060BE"/>
    <w:rsid w:val="00327EF3"/>
    <w:rsid w:val="003318AF"/>
    <w:rsid w:val="00361B00"/>
    <w:rsid w:val="00367CE1"/>
    <w:rsid w:val="0037350A"/>
    <w:rsid w:val="003829BC"/>
    <w:rsid w:val="00397C5C"/>
    <w:rsid w:val="003A1F74"/>
    <w:rsid w:val="003A6588"/>
    <w:rsid w:val="003C07C7"/>
    <w:rsid w:val="003E4666"/>
    <w:rsid w:val="003E5C43"/>
    <w:rsid w:val="003F21CF"/>
    <w:rsid w:val="003F3338"/>
    <w:rsid w:val="00403F34"/>
    <w:rsid w:val="00415D99"/>
    <w:rsid w:val="00421098"/>
    <w:rsid w:val="00425F8E"/>
    <w:rsid w:val="00432F11"/>
    <w:rsid w:val="004347BC"/>
    <w:rsid w:val="00445848"/>
    <w:rsid w:val="00445A73"/>
    <w:rsid w:val="00456394"/>
    <w:rsid w:val="004578EF"/>
    <w:rsid w:val="00457D35"/>
    <w:rsid w:val="0046766E"/>
    <w:rsid w:val="004709E3"/>
    <w:rsid w:val="00470D47"/>
    <w:rsid w:val="004741F2"/>
    <w:rsid w:val="0048054F"/>
    <w:rsid w:val="00480C89"/>
    <w:rsid w:val="004970C5"/>
    <w:rsid w:val="004B3B3B"/>
    <w:rsid w:val="004C0C3B"/>
    <w:rsid w:val="004C28EB"/>
    <w:rsid w:val="004D09BE"/>
    <w:rsid w:val="004D7C43"/>
    <w:rsid w:val="004E4757"/>
    <w:rsid w:val="00501B3B"/>
    <w:rsid w:val="00506B2B"/>
    <w:rsid w:val="00514FBB"/>
    <w:rsid w:val="00515ACE"/>
    <w:rsid w:val="00520525"/>
    <w:rsid w:val="00526B07"/>
    <w:rsid w:val="00530628"/>
    <w:rsid w:val="005362AB"/>
    <w:rsid w:val="00537B76"/>
    <w:rsid w:val="00540439"/>
    <w:rsid w:val="00543949"/>
    <w:rsid w:val="00552AB7"/>
    <w:rsid w:val="005605DF"/>
    <w:rsid w:val="00563811"/>
    <w:rsid w:val="005723DE"/>
    <w:rsid w:val="005852BE"/>
    <w:rsid w:val="005860B7"/>
    <w:rsid w:val="00592535"/>
    <w:rsid w:val="005A647A"/>
    <w:rsid w:val="005B4525"/>
    <w:rsid w:val="005D2387"/>
    <w:rsid w:val="005D5B60"/>
    <w:rsid w:val="005F25A4"/>
    <w:rsid w:val="005F3A4F"/>
    <w:rsid w:val="00603F9A"/>
    <w:rsid w:val="006050E4"/>
    <w:rsid w:val="006220E5"/>
    <w:rsid w:val="00643FA2"/>
    <w:rsid w:val="00644315"/>
    <w:rsid w:val="006542DB"/>
    <w:rsid w:val="0067186A"/>
    <w:rsid w:val="00680148"/>
    <w:rsid w:val="00694AFA"/>
    <w:rsid w:val="006B1976"/>
    <w:rsid w:val="006B2DC8"/>
    <w:rsid w:val="006D35B2"/>
    <w:rsid w:val="006E0821"/>
    <w:rsid w:val="006F7E72"/>
    <w:rsid w:val="00711E88"/>
    <w:rsid w:val="00712B0C"/>
    <w:rsid w:val="00720147"/>
    <w:rsid w:val="007418EF"/>
    <w:rsid w:val="00746A45"/>
    <w:rsid w:val="00746E31"/>
    <w:rsid w:val="00751BDA"/>
    <w:rsid w:val="007539FB"/>
    <w:rsid w:val="00757C11"/>
    <w:rsid w:val="0076122E"/>
    <w:rsid w:val="0076451F"/>
    <w:rsid w:val="00796E5F"/>
    <w:rsid w:val="007C287F"/>
    <w:rsid w:val="007D48C9"/>
    <w:rsid w:val="007D55B8"/>
    <w:rsid w:val="00816621"/>
    <w:rsid w:val="00831508"/>
    <w:rsid w:val="00835A06"/>
    <w:rsid w:val="0084177E"/>
    <w:rsid w:val="008564ED"/>
    <w:rsid w:val="00866861"/>
    <w:rsid w:val="00870F86"/>
    <w:rsid w:val="008837DF"/>
    <w:rsid w:val="008B327A"/>
    <w:rsid w:val="008B381F"/>
    <w:rsid w:val="008C0A6E"/>
    <w:rsid w:val="008C48D9"/>
    <w:rsid w:val="008D0FD2"/>
    <w:rsid w:val="008D4414"/>
    <w:rsid w:val="008D6C22"/>
    <w:rsid w:val="008E6F0F"/>
    <w:rsid w:val="008F1F39"/>
    <w:rsid w:val="00904A57"/>
    <w:rsid w:val="009071E0"/>
    <w:rsid w:val="00914D34"/>
    <w:rsid w:val="00917360"/>
    <w:rsid w:val="00922860"/>
    <w:rsid w:val="00927947"/>
    <w:rsid w:val="00960E63"/>
    <w:rsid w:val="009658B8"/>
    <w:rsid w:val="00983AA9"/>
    <w:rsid w:val="00990BC7"/>
    <w:rsid w:val="009B27E1"/>
    <w:rsid w:val="009F25B3"/>
    <w:rsid w:val="009F2E2D"/>
    <w:rsid w:val="00A07846"/>
    <w:rsid w:val="00A21C17"/>
    <w:rsid w:val="00A25997"/>
    <w:rsid w:val="00A25DE8"/>
    <w:rsid w:val="00A31DDE"/>
    <w:rsid w:val="00A36C0C"/>
    <w:rsid w:val="00A45303"/>
    <w:rsid w:val="00A50EFE"/>
    <w:rsid w:val="00A527E2"/>
    <w:rsid w:val="00A64FF6"/>
    <w:rsid w:val="00A71DF6"/>
    <w:rsid w:val="00A82122"/>
    <w:rsid w:val="00AB56BC"/>
    <w:rsid w:val="00AC392B"/>
    <w:rsid w:val="00AD2BFD"/>
    <w:rsid w:val="00AD5745"/>
    <w:rsid w:val="00AE1006"/>
    <w:rsid w:val="00AE6BD8"/>
    <w:rsid w:val="00AF6352"/>
    <w:rsid w:val="00B025FE"/>
    <w:rsid w:val="00B033DF"/>
    <w:rsid w:val="00B037EE"/>
    <w:rsid w:val="00B0559A"/>
    <w:rsid w:val="00B210AB"/>
    <w:rsid w:val="00B21384"/>
    <w:rsid w:val="00B3088B"/>
    <w:rsid w:val="00B32094"/>
    <w:rsid w:val="00B329C6"/>
    <w:rsid w:val="00B33582"/>
    <w:rsid w:val="00B45318"/>
    <w:rsid w:val="00B50B05"/>
    <w:rsid w:val="00B51C79"/>
    <w:rsid w:val="00B524CC"/>
    <w:rsid w:val="00B52A85"/>
    <w:rsid w:val="00B72446"/>
    <w:rsid w:val="00B767BD"/>
    <w:rsid w:val="00B82245"/>
    <w:rsid w:val="00B832C2"/>
    <w:rsid w:val="00B85D33"/>
    <w:rsid w:val="00BA089E"/>
    <w:rsid w:val="00BA4948"/>
    <w:rsid w:val="00BB7076"/>
    <w:rsid w:val="00BC0E95"/>
    <w:rsid w:val="00BC67C3"/>
    <w:rsid w:val="00BC7025"/>
    <w:rsid w:val="00BD29E7"/>
    <w:rsid w:val="00BD6F12"/>
    <w:rsid w:val="00C0340D"/>
    <w:rsid w:val="00C07B22"/>
    <w:rsid w:val="00C13239"/>
    <w:rsid w:val="00C36416"/>
    <w:rsid w:val="00C416E5"/>
    <w:rsid w:val="00C61B79"/>
    <w:rsid w:val="00C63C6C"/>
    <w:rsid w:val="00C66E1E"/>
    <w:rsid w:val="00C74525"/>
    <w:rsid w:val="00C81730"/>
    <w:rsid w:val="00CA783A"/>
    <w:rsid w:val="00CB395C"/>
    <w:rsid w:val="00CB6234"/>
    <w:rsid w:val="00CC33C0"/>
    <w:rsid w:val="00CC3F27"/>
    <w:rsid w:val="00CE4186"/>
    <w:rsid w:val="00CF39D2"/>
    <w:rsid w:val="00CF63B9"/>
    <w:rsid w:val="00D04BEF"/>
    <w:rsid w:val="00D42A37"/>
    <w:rsid w:val="00D45B17"/>
    <w:rsid w:val="00D52C31"/>
    <w:rsid w:val="00D54484"/>
    <w:rsid w:val="00D5770C"/>
    <w:rsid w:val="00D66C92"/>
    <w:rsid w:val="00D71F1F"/>
    <w:rsid w:val="00D74B08"/>
    <w:rsid w:val="00DB0CA4"/>
    <w:rsid w:val="00DB37E0"/>
    <w:rsid w:val="00DC73A2"/>
    <w:rsid w:val="00DD1AF3"/>
    <w:rsid w:val="00DE5D41"/>
    <w:rsid w:val="00DF7B78"/>
    <w:rsid w:val="00E05492"/>
    <w:rsid w:val="00E07592"/>
    <w:rsid w:val="00E21ADB"/>
    <w:rsid w:val="00E2308B"/>
    <w:rsid w:val="00E249AE"/>
    <w:rsid w:val="00E507A7"/>
    <w:rsid w:val="00E554B1"/>
    <w:rsid w:val="00E864B7"/>
    <w:rsid w:val="00EA0DD6"/>
    <w:rsid w:val="00EA57C7"/>
    <w:rsid w:val="00EA7804"/>
    <w:rsid w:val="00EB5B39"/>
    <w:rsid w:val="00EC548B"/>
    <w:rsid w:val="00ED447A"/>
    <w:rsid w:val="00EE6663"/>
    <w:rsid w:val="00EE6DFF"/>
    <w:rsid w:val="00F130A3"/>
    <w:rsid w:val="00F21120"/>
    <w:rsid w:val="00F3628F"/>
    <w:rsid w:val="00F37355"/>
    <w:rsid w:val="00F45B39"/>
    <w:rsid w:val="00F53A29"/>
    <w:rsid w:val="00F67E3B"/>
    <w:rsid w:val="00F83C07"/>
    <w:rsid w:val="00F940E1"/>
    <w:rsid w:val="00F951DC"/>
    <w:rsid w:val="00F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E72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F7E7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F7E72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6F7E72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E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F7E72"/>
  </w:style>
  <w:style w:type="paragraph" w:styleId="a5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054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ody Text Indent"/>
    <w:basedOn w:val="a"/>
    <w:rsid w:val="00C66E1E"/>
    <w:pPr>
      <w:spacing w:line="480" w:lineRule="auto"/>
      <w:ind w:firstLine="709"/>
      <w:jc w:val="both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2D10A7"/>
    <w:pPr>
      <w:spacing w:after="120" w:line="480" w:lineRule="auto"/>
    </w:pPr>
  </w:style>
  <w:style w:type="paragraph" w:customStyle="1" w:styleId="a9">
    <w:name w:val="Знак Знак Знак Знак"/>
    <w:basedOn w:val="a"/>
    <w:rsid w:val="00904A57"/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rsid w:val="00EC548B"/>
    <w:pPr>
      <w:spacing w:after="120"/>
    </w:pPr>
  </w:style>
  <w:style w:type="paragraph" w:styleId="ab">
    <w:name w:val="Title"/>
    <w:basedOn w:val="a"/>
    <w:link w:val="ac"/>
    <w:qFormat/>
    <w:rsid w:val="00EC548B"/>
    <w:pPr>
      <w:jc w:val="center"/>
    </w:pPr>
    <w:rPr>
      <w:rFonts w:ascii="Times New Roman" w:hAnsi="Times New Roman"/>
      <w:b/>
      <w:bCs/>
      <w:szCs w:val="24"/>
    </w:rPr>
  </w:style>
  <w:style w:type="paragraph" w:styleId="ad">
    <w:name w:val="List Paragraph"/>
    <w:basedOn w:val="a"/>
    <w:uiPriority w:val="34"/>
    <w:qFormat/>
    <w:rsid w:val="00552AB7"/>
    <w:pPr>
      <w:ind w:left="720"/>
      <w:contextualSpacing/>
    </w:pPr>
  </w:style>
  <w:style w:type="character" w:customStyle="1" w:styleId="ac">
    <w:name w:val="Название Знак"/>
    <w:basedOn w:val="a0"/>
    <w:link w:val="ab"/>
    <w:rsid w:val="008B381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602E-9667-4FF6-A92B-B625C0FE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Администрация округа Вязники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Резванова Е.</dc:creator>
  <cp:keywords/>
  <dc:description/>
  <cp:lastModifiedBy>Comp</cp:lastModifiedBy>
  <cp:revision>12</cp:revision>
  <cp:lastPrinted>2019-02-19T11:46:00Z</cp:lastPrinted>
  <dcterms:created xsi:type="dcterms:W3CDTF">2019-02-12T06:42:00Z</dcterms:created>
  <dcterms:modified xsi:type="dcterms:W3CDTF">2019-02-22T08:00:00Z</dcterms:modified>
</cp:coreProperties>
</file>